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6D" w:rsidRPr="000B7A97" w:rsidRDefault="00BF0E6D" w:rsidP="00BF0E6D">
      <w:pPr>
        <w:autoSpaceDE/>
        <w:autoSpaceDN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</w:t>
      </w:r>
      <w:r w:rsidRPr="000B7A97">
        <w:rPr>
          <w:sz w:val="24"/>
        </w:rPr>
        <w:t xml:space="preserve"> </w:t>
      </w:r>
      <w:r w:rsidRPr="000B7A97">
        <w:rPr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fillcolor="window">
            <v:imagedata r:id="rId5" o:title=""/>
            <o:lock v:ext="edit" aspectratio="f"/>
          </v:shape>
        </w:object>
      </w:r>
    </w:p>
    <w:p w:rsidR="00BF0E6D" w:rsidRPr="000B7A97" w:rsidRDefault="00BF0E6D" w:rsidP="00BF0E6D">
      <w:pPr>
        <w:autoSpaceDE/>
        <w:autoSpaceDN/>
        <w:rPr>
          <w:b/>
          <w:sz w:val="28"/>
          <w:szCs w:val="28"/>
          <w:lang w:val="ru-RU"/>
        </w:rPr>
      </w:pPr>
      <w:r w:rsidRPr="000B7A97">
        <w:rPr>
          <w:sz w:val="28"/>
          <w:szCs w:val="28"/>
        </w:rPr>
        <w:t xml:space="preserve">                                                        </w:t>
      </w:r>
      <w:r w:rsidRPr="000B7A97">
        <w:rPr>
          <w:b/>
          <w:sz w:val="28"/>
          <w:szCs w:val="28"/>
        </w:rPr>
        <w:t xml:space="preserve"> УКРАЇНА</w:t>
      </w:r>
    </w:p>
    <w:p w:rsidR="00BF0E6D" w:rsidRPr="000B7A97" w:rsidRDefault="00BF0E6D" w:rsidP="00BF0E6D">
      <w:pPr>
        <w:autoSpaceDE/>
        <w:autoSpaceDN/>
        <w:jc w:val="center"/>
        <w:rPr>
          <w:b/>
          <w:sz w:val="28"/>
          <w:szCs w:val="28"/>
          <w:lang w:val="ru-RU"/>
        </w:rPr>
      </w:pPr>
      <w:r w:rsidRPr="000B7A97">
        <w:rPr>
          <w:b/>
          <w:sz w:val="28"/>
          <w:szCs w:val="28"/>
          <w:lang w:val="ru-RU"/>
        </w:rPr>
        <w:t>ГРУШВИЦЬКА</w:t>
      </w:r>
      <w:r w:rsidRPr="000B7A97">
        <w:rPr>
          <w:b/>
          <w:sz w:val="28"/>
          <w:szCs w:val="28"/>
        </w:rPr>
        <w:t xml:space="preserve"> СІЛЬСЬКА РАДА</w:t>
      </w:r>
    </w:p>
    <w:p w:rsidR="00BF0E6D" w:rsidRDefault="00BF0E6D" w:rsidP="00BF0E6D">
      <w:pPr>
        <w:autoSpaceDE/>
        <w:autoSpaceDN/>
        <w:rPr>
          <w:b/>
          <w:sz w:val="28"/>
          <w:szCs w:val="28"/>
        </w:rPr>
      </w:pPr>
      <w:proofErr w:type="spellStart"/>
      <w:r w:rsidRPr="000B7A97">
        <w:rPr>
          <w:b/>
          <w:sz w:val="28"/>
          <w:szCs w:val="28"/>
        </w:rPr>
        <w:t>_________</w:t>
      </w:r>
      <w:r w:rsidRPr="000B7A97">
        <w:rPr>
          <w:b/>
          <w:sz w:val="28"/>
          <w:szCs w:val="28"/>
          <w:u w:val="single"/>
        </w:rPr>
        <w:t>Рівненсько</w:t>
      </w:r>
      <w:proofErr w:type="spellEnd"/>
      <w:r w:rsidRPr="000B7A97">
        <w:rPr>
          <w:b/>
          <w:sz w:val="28"/>
          <w:szCs w:val="28"/>
          <w:u w:val="single"/>
        </w:rPr>
        <w:t>го  району     Рівненської  області</w:t>
      </w:r>
      <w:r w:rsidRPr="000B7A9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</w:t>
      </w:r>
    </w:p>
    <w:p w:rsidR="00BF0E6D" w:rsidRPr="000B7A97" w:rsidRDefault="00BF0E6D" w:rsidP="00BF0E6D">
      <w:pPr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0B7A97">
        <w:rPr>
          <w:b/>
          <w:sz w:val="28"/>
          <w:szCs w:val="28"/>
        </w:rPr>
        <w:t>Сьоме   скликання</w:t>
      </w:r>
    </w:p>
    <w:p w:rsidR="00BF0E6D" w:rsidRPr="000B7A97" w:rsidRDefault="00BF0E6D" w:rsidP="00BF0E6D">
      <w:pPr>
        <w:autoSpaceDE/>
        <w:autoSpaceDN/>
        <w:jc w:val="center"/>
        <w:rPr>
          <w:sz w:val="28"/>
          <w:szCs w:val="28"/>
        </w:rPr>
      </w:pPr>
      <w:r w:rsidRPr="000B7A97">
        <w:rPr>
          <w:sz w:val="28"/>
          <w:szCs w:val="28"/>
        </w:rPr>
        <w:t>( позачергова тридцять дев’ята сесія )</w:t>
      </w:r>
    </w:p>
    <w:p w:rsidR="00BF0E6D" w:rsidRPr="000B7A97" w:rsidRDefault="00BF0E6D" w:rsidP="00BF0E6D">
      <w:pPr>
        <w:autoSpaceDE/>
        <w:autoSpaceDN/>
        <w:jc w:val="center"/>
        <w:rPr>
          <w:b/>
          <w:sz w:val="28"/>
          <w:szCs w:val="28"/>
        </w:rPr>
      </w:pPr>
    </w:p>
    <w:p w:rsidR="00BF0E6D" w:rsidRDefault="00BF0E6D" w:rsidP="00BF0E6D">
      <w:pPr>
        <w:pStyle w:val="4"/>
        <w:suppressAutoHyphens/>
        <w:autoSpaceDE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</w:t>
      </w:r>
    </w:p>
    <w:p w:rsidR="00BF0E6D" w:rsidRDefault="00BF0E6D" w:rsidP="00BF0E6D">
      <w:pPr>
        <w:pStyle w:val="4"/>
        <w:suppressAutoHyphens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</w:t>
      </w:r>
    </w:p>
    <w:p w:rsidR="00BF0E6D" w:rsidRPr="00803694" w:rsidRDefault="00BF0E6D" w:rsidP="00BF0E6D"/>
    <w:p w:rsidR="00BF0E6D" w:rsidRPr="00803694" w:rsidRDefault="00BF0E6D" w:rsidP="00BF0E6D"/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02 квітня  2019 року                                                                         № 586</w:t>
      </w:r>
    </w:p>
    <w:p w:rsidR="00BF0E6D" w:rsidRDefault="00BF0E6D" w:rsidP="00BF0E6D">
      <w:pPr>
        <w:jc w:val="both"/>
        <w:rPr>
          <w:sz w:val="28"/>
          <w:szCs w:val="28"/>
        </w:rPr>
      </w:pPr>
    </w:p>
    <w:p w:rsidR="00BF0E6D" w:rsidRDefault="00BF0E6D" w:rsidP="00BF0E6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внесення змін до</w:t>
      </w:r>
    </w:p>
    <w:p w:rsidR="00BF0E6D" w:rsidRDefault="00BF0E6D" w:rsidP="00BF0E6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сільського    бюджету</w:t>
      </w:r>
    </w:p>
    <w:p w:rsidR="00BF0E6D" w:rsidRDefault="00BF0E6D" w:rsidP="00BF0E6D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Грушвицької</w:t>
      </w:r>
      <w:proofErr w:type="spellEnd"/>
      <w:r>
        <w:rPr>
          <w:b/>
          <w:bCs/>
          <w:sz w:val="28"/>
          <w:szCs w:val="28"/>
        </w:rPr>
        <w:t xml:space="preserve"> сільської ради</w:t>
      </w:r>
    </w:p>
    <w:p w:rsidR="00BF0E6D" w:rsidRDefault="00BF0E6D" w:rsidP="00BF0E6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рік</w:t>
      </w:r>
    </w:p>
    <w:p w:rsidR="00BF0E6D" w:rsidRDefault="00BF0E6D" w:rsidP="00BF0E6D">
      <w:pPr>
        <w:jc w:val="both"/>
        <w:rPr>
          <w:sz w:val="28"/>
          <w:szCs w:val="28"/>
        </w:rPr>
      </w:pPr>
    </w:p>
    <w:p w:rsidR="00BF0E6D" w:rsidRDefault="00BF0E6D" w:rsidP="00BF0E6D">
      <w:pPr>
        <w:overflowPunct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Керуючись пунктом 17 частини 1 статті 43 Закону України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Про місцеве самоврядування в Україні», Бюджетним кодексом України,  Законом України «Про Державний бюджет  України на 2019 рік», іншими чинними нормативно-правовими актами з цих питань, за погодженням з постійними комісіями сільської  ради, сільська рада  </w:t>
      </w:r>
    </w:p>
    <w:p w:rsidR="00BF0E6D" w:rsidRDefault="00BF0E6D" w:rsidP="00BF0E6D">
      <w:pPr>
        <w:overflowPunct w:val="0"/>
        <w:adjustRightInd w:val="0"/>
        <w:spacing w:before="120" w:after="1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BF0E6D" w:rsidRDefault="00BF0E6D" w:rsidP="00BF0E6D">
      <w:pPr>
        <w:overflowPunct w:val="0"/>
        <w:adjustRightInd w:val="0"/>
        <w:spacing w:before="120" w:after="12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1. Внести зміни до рішень сільської ради від 21 грудня 2018 року №530 «Про сільський бюджет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 на 2019 рік», від 20 лютого 2019 року №550 «Про внесення змін до сільського бюджету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 на 2019 рік» , а саме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визначити на 2019 рік: 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доходи сільського  бюджету збільшити  на суму 276606 гривень, у тому числі доходи загального фонду сільського бюджету збільшити  на суму 276606 гривень , згідно з додатком  1 цього рішення; 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видатки сільського  бюджету збільшити на суму 279153 гривні, у тому числі видатки загального фонду сільського бюджету збільшити на суму 22000 гривень, видатки спеціального фонду сільського бюджету збільшити на суму 257153 гривень,  згідно з додатком  3 цього рішення;</w:t>
      </w:r>
    </w:p>
    <w:p w:rsidR="00BF0E6D" w:rsidRDefault="00BF0E6D" w:rsidP="00BF0E6D">
      <w:pPr>
        <w:jc w:val="both"/>
        <w:rPr>
          <w:sz w:val="28"/>
          <w:szCs w:val="28"/>
        </w:rPr>
      </w:pP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профіцит загального  фонду сільського бюджету  у сумі 254606 гривень</w:t>
      </w:r>
      <w:r>
        <w:rPr>
          <w:sz w:val="28"/>
          <w:szCs w:val="28"/>
        </w:rPr>
        <w:t>, в тому числі за рахунок  залучення  вільних залишків коштів сільського бюджету у сумі  2547 гривень,  обсяг коштів, що передаються із загального фонду бюджету до бюджету розвитку (спеціального фонду)  в  сумі  257153 гривні згідно з додатком 2  до цього рішення;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дефіцит за спеціальним  фондом сільського бюджету у сумі 257153 гривень</w:t>
      </w:r>
      <w:r>
        <w:rPr>
          <w:sz w:val="28"/>
          <w:szCs w:val="28"/>
        </w:rPr>
        <w:t>, в тому числі обсяг коштів що надходять із загального фонду бюджету до бюджету розвитку (спеціального фонду)  257153 гривень згідно з додатком 2  до цього рішення;</w:t>
      </w:r>
    </w:p>
    <w:p w:rsidR="00BF0E6D" w:rsidRDefault="00BF0E6D" w:rsidP="00BF0E6D">
      <w:pPr>
        <w:jc w:val="both"/>
        <w:rPr>
          <w:sz w:val="28"/>
          <w:szCs w:val="28"/>
        </w:rPr>
      </w:pP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Збільшити  бюджетні призначення сільського бюджету на 2019 рік у розрізі відповідальних виконавців за бюджетними програмами  на суму 279153 гривні згідно з додатком 3  до цього рішення.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Збільшити  на 2019 рік міжбюджетні трансферти по сільському  бюджету згідно з додатком  4 до цього рішення на суму 276606 гривень, у тому числі по загальному фонду  бюджету збільшити на суму 276606 гривень: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Із  них :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затвердити субвенцію з  місцевого бюджету на здійснення заходів, щодо соціально-економічного розвитку окремих територій за рахунок залишку коштів відповідної субвенції з державного бюджету, що утворився на початок бюджетного періоду на «Капітальний ремонт </w:t>
      </w:r>
      <w:proofErr w:type="spellStart"/>
      <w:r>
        <w:rPr>
          <w:sz w:val="28"/>
          <w:szCs w:val="28"/>
        </w:rPr>
        <w:t>Грушвицького</w:t>
      </w:r>
      <w:proofErr w:type="spellEnd"/>
      <w:r>
        <w:rPr>
          <w:sz w:val="28"/>
          <w:szCs w:val="28"/>
        </w:rPr>
        <w:t xml:space="preserve"> ДНЗ (зовнішнє опорядження та утеплення фасадів, заміна покрівлі, вікон та зовнішніх дверей, відновлення функціонування приміщень другого поверху) за адресою: вул. Шкільна, 12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 Рівненського району Рівненської обл.»  в сумі 50000 грн., та «Реконструкцію електричних мереж – влаштування вуличного освітлення в с. </w:t>
      </w:r>
      <w:proofErr w:type="spellStart"/>
      <w:r>
        <w:rPr>
          <w:sz w:val="28"/>
          <w:szCs w:val="28"/>
        </w:rPr>
        <w:t>Мартинівка</w:t>
      </w:r>
      <w:proofErr w:type="spellEnd"/>
      <w:r>
        <w:rPr>
          <w:sz w:val="28"/>
          <w:szCs w:val="28"/>
        </w:rPr>
        <w:t xml:space="preserve"> Рівненського району Рівненської області (вул. Лісова) в сумі 204606 грн.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затвердити іншу додаткову дотацію з районного бюджету на утримання </w:t>
      </w:r>
      <w:proofErr w:type="spellStart"/>
      <w:r>
        <w:rPr>
          <w:sz w:val="28"/>
          <w:szCs w:val="28"/>
        </w:rPr>
        <w:t>Грушвицького</w:t>
      </w:r>
      <w:proofErr w:type="spellEnd"/>
      <w:r>
        <w:rPr>
          <w:sz w:val="28"/>
          <w:szCs w:val="28"/>
        </w:rPr>
        <w:t xml:space="preserve"> будинку культури в сумі 22000 грн.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Збільшити на 2019 рік розподіл видатків бюджету розвитку за об’єктами по сільському бюджету на суму 257153 гривень згідно з додатком 5 до цього рішення. 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Додатки  1-5 до рішення є його невід’ємною частиною.</w:t>
      </w: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Контроль за виконанням цього рішення покласти на постійну комісію сільської ради з питань бюджету, податків, фінансів, економічного розвитку та комунальної власності сільської ради (</w:t>
      </w:r>
      <w:proofErr w:type="spellStart"/>
      <w:r>
        <w:rPr>
          <w:sz w:val="28"/>
          <w:szCs w:val="28"/>
        </w:rPr>
        <w:t>Сергіюк</w:t>
      </w:r>
      <w:proofErr w:type="spellEnd"/>
      <w:r>
        <w:rPr>
          <w:sz w:val="28"/>
          <w:szCs w:val="28"/>
        </w:rPr>
        <w:t xml:space="preserve"> О.О.) . </w:t>
      </w:r>
    </w:p>
    <w:p w:rsidR="00BF0E6D" w:rsidRDefault="00BF0E6D" w:rsidP="00BF0E6D">
      <w:pPr>
        <w:jc w:val="both"/>
        <w:rPr>
          <w:sz w:val="28"/>
          <w:szCs w:val="28"/>
        </w:rPr>
      </w:pPr>
    </w:p>
    <w:p w:rsidR="00BF0E6D" w:rsidRDefault="00BF0E6D" w:rsidP="00BF0E6D">
      <w:pPr>
        <w:jc w:val="both"/>
        <w:rPr>
          <w:sz w:val="28"/>
          <w:szCs w:val="28"/>
          <w:highlight w:val="yellow"/>
        </w:rPr>
      </w:pPr>
    </w:p>
    <w:p w:rsidR="00BF0E6D" w:rsidRDefault="00BF0E6D" w:rsidP="00BF0E6D">
      <w:pPr>
        <w:rPr>
          <w:b/>
          <w:color w:val="FF00FF"/>
          <w:sz w:val="28"/>
          <w:szCs w:val="28"/>
        </w:rPr>
      </w:pPr>
    </w:p>
    <w:p w:rsidR="00BF0E6D" w:rsidRDefault="00BF0E6D" w:rsidP="00BF0E6D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О.Данилюк</w:t>
      </w:r>
    </w:p>
    <w:p w:rsidR="00E812B4" w:rsidRDefault="00E812B4">
      <w:bookmarkStart w:id="0" w:name="_GoBack"/>
      <w:bookmarkEnd w:id="0"/>
    </w:p>
    <w:sectPr w:rsidR="00E81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6D"/>
    <w:rsid w:val="00BF0E6D"/>
    <w:rsid w:val="00E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0E6D"/>
    <w:pPr>
      <w:keepNext/>
      <w:jc w:val="both"/>
      <w:outlineLvl w:val="3"/>
    </w:pPr>
    <w:rPr>
      <w:rFonts w:ascii="Bookman Old Style" w:hAnsi="Bookman Old Style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F0E6D"/>
    <w:rPr>
      <w:rFonts w:ascii="Bookman Old Style" w:eastAsia="Times New Roman" w:hAnsi="Bookman Old Style" w:cs="Times New Roman"/>
      <w:b/>
      <w:bCs/>
      <w:sz w:val="16"/>
      <w:szCs w:val="16"/>
      <w:lang w:eastAsia="ru-RU"/>
    </w:rPr>
  </w:style>
  <w:style w:type="paragraph" w:styleId="a3">
    <w:name w:val="List"/>
    <w:basedOn w:val="a"/>
    <w:semiHidden/>
    <w:unhideWhenUsed/>
    <w:rsid w:val="00BF0E6D"/>
    <w:pPr>
      <w:autoSpaceDE/>
      <w:autoSpaceDN/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0E6D"/>
    <w:pPr>
      <w:keepNext/>
      <w:jc w:val="both"/>
      <w:outlineLvl w:val="3"/>
    </w:pPr>
    <w:rPr>
      <w:rFonts w:ascii="Bookman Old Style" w:hAnsi="Bookman Old Style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F0E6D"/>
    <w:rPr>
      <w:rFonts w:ascii="Bookman Old Style" w:eastAsia="Times New Roman" w:hAnsi="Bookman Old Style" w:cs="Times New Roman"/>
      <w:b/>
      <w:bCs/>
      <w:sz w:val="16"/>
      <w:szCs w:val="16"/>
      <w:lang w:eastAsia="ru-RU"/>
    </w:rPr>
  </w:style>
  <w:style w:type="paragraph" w:styleId="a3">
    <w:name w:val="List"/>
    <w:basedOn w:val="a"/>
    <w:semiHidden/>
    <w:unhideWhenUsed/>
    <w:rsid w:val="00BF0E6D"/>
    <w:pPr>
      <w:autoSpaceDE/>
      <w:autoSpaceDN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2019-09-18T13:20:00Z</dcterms:created>
  <dcterms:modified xsi:type="dcterms:W3CDTF">2019-09-18T13:21:00Z</dcterms:modified>
</cp:coreProperties>
</file>